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-447658</wp:posOffset>
            </wp:positionH>
            <wp:positionV relativeFrom="paragraph">
              <wp:posOffset>-43164</wp:posOffset>
            </wp:positionV>
            <wp:extent cx="575945" cy="779145"/>
            <wp:effectExtent b="0" l="0" r="0" t="0"/>
            <wp:wrapSquare wrapText="bothSides" distB="0" distT="0" distL="114300" distR="11430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after="0" w:line="240" w:lineRule="auto"/>
        <w:ind w:right="6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PREFEITURA MUNICIPAL DA ESTÂNCIA BALNEÁRIA DE PERUÍBE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spacing w:after="0" w:line="240" w:lineRule="auto"/>
        <w:ind w:right="6"/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spacing w:after="0" w:line="240" w:lineRule="auto"/>
        <w:ind w:right="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spacing w:after="0" w:line="240" w:lineRule="auto"/>
        <w:ind w:right="6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E-mail: smeperuibe@gmail.com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CONVOCAÇÃO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KARINA ELISA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PATRICIA DUARTE ESPÓSITO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Suplente do Poder Executivo</w:t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Reunião para apresentar os novos membros eleitos para o CAE (2026-2030) em 04/12/2025, das 9h às 10h30, na sala de reuniões da Secretaria Municipal de Educação.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04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dezembro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IE+kfWjvA+3pRzbCsgcN+Fyrw==">CgMxLjAyCGguZ2pkZ3hzMg5oLmpwcWs2eXdpOGJ0eDgAciExT2d3UVFFODBDV1dlR2MxMHFXVkJYaUdOX3owLXA0NXE=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