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PARECER CONCLUSIVO CAE 2025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Entidade Executora: Peruíbe - São Paulo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Exercício Financeiro: 2025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IDENTIFICAÇÃO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Conselho de Alimentação Escolar (CAE) de Peruíbe - São Paulo.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Referente à Prestação de Contas do PNAE/2025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RELATÓRIO DE ANÁLISE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conselheiros, após análise do Sistema de Gestão de Prestação de Contas (SIGPC) e documentos físicos/digitais, constataram: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A conformidade da aplicação dos recursos financeiros.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A adequação da alimentação escolar ao cardápio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A meta de agricultura familiar em adequação com a legislação - 31%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A regularidade documental (notas fiscais, licitações, extratos). 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right="1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CONCLUSÃO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Aprovação: A execução ocorreu nos moldes estabelecidos pela Resolução vigente à época.</w:t>
      </w:r>
    </w:p>
    <w:p w:rsidR="00000000" w:rsidDel="00000000" w:rsidP="00000000" w:rsidRDefault="00000000" w:rsidRPr="00000000" w14:paraId="00000010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FRANCISCO PARRELLA FIGUEIREDO (Presidente)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PATRICIA DUARTE ESPOSITO (Representante do Poder Executivo)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KARINA ELISA PESSOA (Representante de Pais)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GISELE ASSIS DE OLIVEIRA (Representante de Trabalhadores da Educação)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LEONARDO BRUNO ALCANTHARA DOS SANTOS </w:t>
      </w:r>
      <w:r w:rsidDel="00000000" w:rsidR="00000000" w:rsidRPr="00000000">
        <w:rPr>
          <w:sz w:val="24"/>
          <w:szCs w:val="24"/>
          <w:rtl w:val="0"/>
        </w:rPr>
        <w:t xml:space="preserve">(Representante da Sociedade Civil)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Peruíbe, 09 de dezembro de 2025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